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F5763" w14:textId="1A2FEE95" w:rsidR="00D530EF" w:rsidRPr="00582831" w:rsidRDefault="002C6127" w:rsidP="00D77C98">
      <w:pPr>
        <w:rPr>
          <w:rFonts w:ascii="Century Gothic" w:hAnsi="Century Gothic"/>
          <w:sz w:val="36"/>
          <w:szCs w:val="36"/>
        </w:rPr>
      </w:pPr>
      <w:r>
        <w:rPr>
          <w:rFonts w:ascii="Century Gothic" w:hAnsi="Century Gothic"/>
          <w:sz w:val="36"/>
          <w:szCs w:val="36"/>
        </w:rPr>
        <w:t>Disciplinary and Grievance Policy</w:t>
      </w:r>
    </w:p>
    <w:p w14:paraId="6596263C" w14:textId="508FBB5F" w:rsidR="00BF4C3E" w:rsidRPr="001129A7" w:rsidRDefault="00BF4C3E" w:rsidP="005D08D1">
      <w:pPr>
        <w:pStyle w:val="22-Modeltekst"/>
        <w:rPr>
          <w:rFonts w:ascii="Century Gothic" w:hAnsi="Century Gothic"/>
          <w:spacing w:val="0"/>
          <w:lang w:val="en-GB"/>
        </w:rPr>
      </w:pPr>
      <w:r w:rsidRPr="001129A7">
        <w:rPr>
          <w:rFonts w:ascii="Century Gothic" w:hAnsi="Century Gothic"/>
          <w:spacing w:val="0"/>
          <w:lang w:val="en-GB"/>
        </w:rPr>
        <w:t xml:space="preserve">Whilst </w:t>
      </w:r>
      <w:r w:rsidR="00081F69">
        <w:rPr>
          <w:rFonts w:ascii="Century Gothic" w:hAnsi="Century Gothic"/>
          <w:spacing w:val="0"/>
          <w:lang w:val="en-GB"/>
        </w:rPr>
        <w:t xml:space="preserve">Chapters </w:t>
      </w:r>
      <w:r w:rsidRPr="001129A7">
        <w:rPr>
          <w:rFonts w:ascii="Century Gothic" w:hAnsi="Century Gothic"/>
          <w:spacing w:val="0"/>
          <w:lang w:val="en-GB"/>
        </w:rPr>
        <w:t xml:space="preserve">does not intend to impose unreasonable rules of conduct on its employees, certain standards of behaviour are necessary to maintain good employment relations and discipline in the interest of all employees. </w:t>
      </w:r>
      <w:r w:rsidR="005D08D1">
        <w:rPr>
          <w:rFonts w:ascii="Century Gothic" w:hAnsi="Century Gothic"/>
          <w:spacing w:val="0"/>
          <w:lang w:val="en-GB"/>
        </w:rPr>
        <w:t>Chapters</w:t>
      </w:r>
      <w:r w:rsidRPr="001129A7">
        <w:rPr>
          <w:rFonts w:ascii="Century Gothic" w:hAnsi="Century Gothic"/>
          <w:spacing w:val="0"/>
          <w:lang w:val="en-GB"/>
        </w:rPr>
        <w:t xml:space="preserve"> prefers that discipline be voluntary and self-imposed and, in the vast majority of cases, this is how it works. However, from time to time, it may be necessary for </w:t>
      </w:r>
      <w:r w:rsidR="005D08D1">
        <w:rPr>
          <w:rFonts w:ascii="Century Gothic" w:hAnsi="Century Gothic"/>
          <w:spacing w:val="0"/>
          <w:lang w:val="en-GB"/>
        </w:rPr>
        <w:t>Chapters</w:t>
      </w:r>
      <w:r w:rsidRPr="001129A7">
        <w:rPr>
          <w:rFonts w:ascii="Century Gothic" w:hAnsi="Century Gothic"/>
          <w:spacing w:val="0"/>
          <w:lang w:val="en-GB"/>
        </w:rPr>
        <w:t xml:space="preserve"> to take action towards individuals whose level of behaviour or performance is unacceptable. It will also occur where an employee knowingly breaks any legal requirement in connection with their employment.</w:t>
      </w:r>
    </w:p>
    <w:p w14:paraId="4C45C22F" w14:textId="7777777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With the exception of the section on alternatives to dismissal (which is contractual), this disciplinary procedure is</w:t>
      </w:r>
      <w:r w:rsidRPr="001129A7">
        <w:rPr>
          <w:rFonts w:ascii="Century Gothic" w:hAnsi="Century Gothic"/>
          <w:b/>
          <w:bCs/>
          <w:spacing w:val="0"/>
          <w:lang w:val="en-GB"/>
        </w:rPr>
        <w:t xml:space="preserve"> non-contractual</w:t>
      </w:r>
      <w:r w:rsidRPr="001129A7">
        <w:rPr>
          <w:rFonts w:ascii="Century Gothic" w:hAnsi="Century Gothic"/>
          <w:spacing w:val="0"/>
          <w:lang w:val="en-GB"/>
        </w:rPr>
        <w:t xml:space="preserve"> and does not form part of an employee’s contract of employment.</w:t>
      </w:r>
    </w:p>
    <w:p w14:paraId="2B375E9D" w14:textId="7777777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Minor faults will be dealt with informally through counselling and training. However, in cases where informal discussion with the employee does not lead to an improvement in conduct or performance or where the matter is considered to be too serious to be classed as minor, for example, unauthorised absences, persistent poor timekeeping, sub-standard work performance, etc. the following disciplinary procedure will be used. At all stages of the procedure, an investigation will be carried out. This can include, where necessary, an investigation of social media websites (social media websites are a public forum, even if account privacy settings are set at a restricted access level).</w:t>
      </w:r>
    </w:p>
    <w:p w14:paraId="06358933" w14:textId="03F3E581" w:rsidR="00BF4C3E" w:rsidRPr="001129A7" w:rsidRDefault="005D08D1" w:rsidP="00BF4C3E">
      <w:pPr>
        <w:pStyle w:val="22-Modeltekst"/>
        <w:rPr>
          <w:rFonts w:ascii="Century Gothic" w:hAnsi="Century Gothic"/>
          <w:spacing w:val="0"/>
          <w:lang w:val="en-GB"/>
        </w:rPr>
      </w:pPr>
      <w:r>
        <w:rPr>
          <w:rFonts w:ascii="Century Gothic" w:hAnsi="Century Gothic"/>
          <w:spacing w:val="0"/>
          <w:lang w:val="en-GB"/>
        </w:rPr>
        <w:t>Chapters</w:t>
      </w:r>
      <w:r w:rsidR="00BF4C3E" w:rsidRPr="001129A7">
        <w:rPr>
          <w:rFonts w:ascii="Century Gothic" w:hAnsi="Century Gothic"/>
          <w:spacing w:val="0"/>
          <w:lang w:val="en-GB"/>
        </w:rPr>
        <w:t xml:space="preserve"> will notify the employee in writing of </w:t>
      </w:r>
      <w:r w:rsidR="00C57511">
        <w:rPr>
          <w:rFonts w:ascii="Century Gothic" w:hAnsi="Century Gothic"/>
          <w:spacing w:val="0"/>
          <w:lang w:val="en-GB"/>
        </w:rPr>
        <w:t>serious</w:t>
      </w:r>
      <w:r w:rsidR="00BF4C3E" w:rsidRPr="001129A7">
        <w:rPr>
          <w:rFonts w:ascii="Century Gothic" w:hAnsi="Century Gothic"/>
          <w:spacing w:val="0"/>
          <w:lang w:val="en-GB"/>
        </w:rPr>
        <w:t xml:space="preserve"> allegations against him or her and will invite the employee to a disciplinary hearing to discuss the matter. </w:t>
      </w:r>
      <w:r>
        <w:rPr>
          <w:rFonts w:ascii="Century Gothic" w:hAnsi="Century Gothic"/>
          <w:spacing w:val="0"/>
          <w:lang w:val="en-GB"/>
        </w:rPr>
        <w:t>Chapters</w:t>
      </w:r>
      <w:r w:rsidR="00BF4C3E" w:rsidRPr="001129A7">
        <w:rPr>
          <w:rFonts w:ascii="Century Gothic" w:hAnsi="Century Gothic"/>
          <w:spacing w:val="0"/>
          <w:lang w:val="en-GB"/>
        </w:rPr>
        <w:t xml:space="preserve"> will provide sufficient information about the alleged misconduct or poor performance and its possible consequences to enable the employee to answer the case. This will include the provision of copies of written evidence, including witness statements, where appropriate.  </w:t>
      </w:r>
    </w:p>
    <w:p w14:paraId="4EDD2D0A" w14:textId="55781012"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Having given the employee reasonable time to prepare their case, a formal disciplinary hearing will then take place, conducted by a manager, at which the employee will be given the chance to state his or her case, accompanied if requested by a fellow employee of his or her choice. The employee must make every effort to attend the hearing. At the hearing, the employee will be allowed to set out their case and answer any allegations and will also be given a reasonable opportunity to ask questions, present evidence, call relevant witnesses and raise points about any information provided by witnesses.</w:t>
      </w:r>
    </w:p>
    <w:p w14:paraId="1615A55D" w14:textId="38345859" w:rsidR="00BF4C3E" w:rsidRPr="001129A7" w:rsidRDefault="00BF4C3E" w:rsidP="00BF4C3E">
      <w:pPr>
        <w:pStyle w:val="22-Modeltekst"/>
        <w:rPr>
          <w:rFonts w:ascii="Century Gothic" w:hAnsi="Century Gothic"/>
          <w:spacing w:val="0"/>
          <w:lang w:val="en-GB"/>
        </w:rPr>
      </w:pPr>
      <w:r w:rsidRPr="001129A7">
        <w:rPr>
          <w:rFonts w:ascii="Century Gothic" w:eastAsia="Times New Roman" w:hAnsi="Century Gothic"/>
          <w:spacing w:val="0"/>
          <w:lang w:val="en-GB"/>
        </w:rPr>
        <w:t xml:space="preserve">Please note that it is prohibited for employees to record (whether covertly or otherwise) the proceedings at the disciplinary hearing, and at any appeal hearing, without the express permission of </w:t>
      </w:r>
      <w:r w:rsidR="005D08D1">
        <w:rPr>
          <w:rFonts w:ascii="Century Gothic" w:eastAsia="Times New Roman" w:hAnsi="Century Gothic"/>
          <w:spacing w:val="0"/>
          <w:lang w:val="en-GB"/>
        </w:rPr>
        <w:t>Chapters</w:t>
      </w:r>
      <w:r w:rsidRPr="001129A7">
        <w:rPr>
          <w:rFonts w:ascii="Century Gothic" w:eastAsia="Times New Roman" w:hAnsi="Century Gothic"/>
          <w:spacing w:val="0"/>
          <w:lang w:val="en-GB"/>
        </w:rPr>
        <w:t xml:space="preserve">. </w:t>
      </w:r>
      <w:r w:rsidRPr="001129A7">
        <w:rPr>
          <w:rFonts w:ascii="Century Gothic" w:hAnsi="Century Gothic"/>
          <w:spacing w:val="0"/>
          <w:lang w:val="en-GB"/>
        </w:rPr>
        <w:t xml:space="preserve">If </w:t>
      </w:r>
      <w:r w:rsidR="005D08D1">
        <w:rPr>
          <w:rFonts w:ascii="Century Gothic" w:hAnsi="Century Gothic"/>
          <w:spacing w:val="0"/>
          <w:lang w:val="en-GB"/>
        </w:rPr>
        <w:t>Chapters</w:t>
      </w:r>
      <w:r w:rsidRPr="001129A7">
        <w:rPr>
          <w:rFonts w:ascii="Century Gothic" w:hAnsi="Century Gothic"/>
          <w:spacing w:val="0"/>
          <w:lang w:val="en-GB"/>
        </w:rPr>
        <w:t xml:space="preserve"> discovers that you have done this covertly, you </w:t>
      </w:r>
      <w:r w:rsidR="0056429C">
        <w:rPr>
          <w:rFonts w:ascii="Century Gothic" w:hAnsi="Century Gothic"/>
          <w:spacing w:val="0"/>
          <w:lang w:val="en-GB"/>
        </w:rPr>
        <w:t>will</w:t>
      </w:r>
      <w:r w:rsidRPr="001129A7">
        <w:rPr>
          <w:rFonts w:ascii="Century Gothic" w:hAnsi="Century Gothic"/>
          <w:spacing w:val="0"/>
          <w:lang w:val="en-GB"/>
        </w:rPr>
        <w:t xml:space="preserve"> be subject to further disciplinary action. </w:t>
      </w:r>
    </w:p>
    <w:p w14:paraId="57759443" w14:textId="0C85D54E"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Following the hearing, </w:t>
      </w:r>
      <w:r w:rsidR="005D08D1">
        <w:rPr>
          <w:rFonts w:ascii="Century Gothic" w:hAnsi="Century Gothic"/>
          <w:spacing w:val="0"/>
          <w:lang w:val="en-GB"/>
        </w:rPr>
        <w:t>Chapters</w:t>
      </w:r>
      <w:r w:rsidRPr="001129A7">
        <w:rPr>
          <w:rFonts w:ascii="Century Gothic" w:hAnsi="Century Gothic"/>
          <w:spacing w:val="0"/>
          <w:lang w:val="en-GB"/>
        </w:rPr>
        <w:t xml:space="preserve"> will decide whether or not disciplinary action is justified and, if so, the employee will be informed in writing of </w:t>
      </w:r>
      <w:r w:rsidR="005D08D1">
        <w:rPr>
          <w:rFonts w:ascii="Century Gothic" w:hAnsi="Century Gothic"/>
          <w:spacing w:val="0"/>
          <w:lang w:val="en-GB"/>
        </w:rPr>
        <w:t>Chapters</w:t>
      </w:r>
      <w:r w:rsidRPr="001129A7">
        <w:rPr>
          <w:rFonts w:ascii="Century Gothic" w:hAnsi="Century Gothic"/>
          <w:spacing w:val="0"/>
          <w:lang w:val="en-GB"/>
        </w:rPr>
        <w:t xml:space="preserve">’s decision in accordance with the stages set out below and notified of his or her right to appeal against that decision. It should be noted that an employee’s behaviour is not looked at in isolation but each incident of misconduct is regarded cumulatively with any </w:t>
      </w:r>
      <w:r w:rsidRPr="001129A7">
        <w:rPr>
          <w:rFonts w:ascii="Century Gothic" w:hAnsi="Century Gothic"/>
          <w:spacing w:val="0"/>
          <w:lang w:val="en-GB"/>
        </w:rPr>
        <w:lastRenderedPageBreak/>
        <w:t xml:space="preserve">previous occurrences. Please note that </w:t>
      </w:r>
      <w:r w:rsidR="005D08D1">
        <w:rPr>
          <w:rFonts w:ascii="Century Gothic" w:hAnsi="Century Gothic"/>
          <w:spacing w:val="0"/>
          <w:lang w:val="en-GB"/>
        </w:rPr>
        <w:t>Chapters</w:t>
      </w:r>
      <w:r w:rsidRPr="001129A7">
        <w:rPr>
          <w:rFonts w:ascii="Century Gothic" w:hAnsi="Century Gothic"/>
          <w:spacing w:val="0"/>
          <w:lang w:val="en-GB"/>
        </w:rPr>
        <w:t xml:space="preserve"> will deal with all disciplinary matters within a reasonable timescale. However, it reserves the right to extend these wherever necessary and if appropriate.</w:t>
      </w:r>
    </w:p>
    <w:p w14:paraId="54C5A003"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Stage 1: Written warning</w:t>
      </w:r>
    </w:p>
    <w:p w14:paraId="3C986C7B" w14:textId="7777777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The employee will be given a formal WRITTEN WARNING. He or she will be advised of the reason for the warning, how he or she needs to improve their conduct or performance, the timescale over which the improvement is to be achieved, that the warning is the first stage of the formal disciplinary procedure and the likely consequences if the terms of the warning are not complied with. The written warning will be recorded but nullified after six months, subject to satisfactory conduct and performance.</w:t>
      </w:r>
    </w:p>
    <w:p w14:paraId="3E8678E9"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Stage 2: Final written warning</w:t>
      </w:r>
    </w:p>
    <w:p w14:paraId="47D94E66" w14:textId="1EAAC146"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Failure to improve performance in response to the procedure so far, a repeat of misconduct for which a warning has previously been issued, or a first instance of serious misconduct or serious poor performance, will result in a FINAL WRITTEN WARNING being issued. This will set out the nature of the misconduct or poor performance, how he or she needs to improve their conduct or performance, the timescale over which the improvement is to be achieved and warn that dismissal will probably result if the terms of the warning are not complied with. This final written warning will be recorded but nullified after twelve months, subject to satisfactory conduct and performance. However, </w:t>
      </w:r>
      <w:r w:rsidR="005D08D1">
        <w:rPr>
          <w:rFonts w:ascii="Century Gothic" w:hAnsi="Century Gothic"/>
          <w:spacing w:val="0"/>
          <w:lang w:val="en-GB"/>
        </w:rPr>
        <w:t>Chapters</w:t>
      </w:r>
      <w:r w:rsidRPr="001129A7">
        <w:rPr>
          <w:rFonts w:ascii="Century Gothic" w:hAnsi="Century Gothic"/>
          <w:spacing w:val="0"/>
          <w:lang w:val="en-GB"/>
        </w:rPr>
        <w:t xml:space="preserve"> reserves the right to extend the validity of the final written warning to a maximum of three years in cases of very serious misconduct or where the employee has a history of misconduct issues.</w:t>
      </w:r>
    </w:p>
    <w:p w14:paraId="76A16B07"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Stage 3: Dismissal</w:t>
      </w:r>
    </w:p>
    <w:p w14:paraId="2993F2CA" w14:textId="6E98839D"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Failure to meet the requirements set out in the final written warning will normally lead to DISMISSAL with appropriate notice. A decision of this kind will only be made after the fullest possible investigation. Dismissal can be authorised only by a senior manager or </w:t>
      </w:r>
      <w:r w:rsidR="00B1571A">
        <w:rPr>
          <w:rFonts w:ascii="Century Gothic" w:hAnsi="Century Gothic"/>
          <w:spacing w:val="0"/>
          <w:lang w:val="en-GB"/>
        </w:rPr>
        <w:t>the Owner</w:t>
      </w:r>
      <w:r w:rsidRPr="001129A7">
        <w:rPr>
          <w:rFonts w:ascii="Century Gothic" w:hAnsi="Century Gothic"/>
          <w:spacing w:val="0"/>
          <w:lang w:val="en-GB"/>
        </w:rPr>
        <w:t>. The employee will be informed of the reasons for dismissal, the appropriate period of notice, the date on which his or her employment will terminate and how the employee can appeal against the dismissal decision.</w:t>
      </w:r>
    </w:p>
    <w:p w14:paraId="2BD603FA" w14:textId="77777777" w:rsidR="00BF4C3E" w:rsidRPr="001129A7" w:rsidRDefault="00BF4C3E" w:rsidP="00BF4C3E">
      <w:pPr>
        <w:pStyle w:val="22-Modeltekst"/>
        <w:rPr>
          <w:rFonts w:ascii="Century Gothic" w:hAnsi="Century Gothic"/>
          <w:spacing w:val="0"/>
          <w:lang w:val="en-GB"/>
        </w:rPr>
      </w:pPr>
    </w:p>
    <w:p w14:paraId="1F54B0BA" w14:textId="77777777" w:rsidR="00BF4C3E" w:rsidRPr="001129A7" w:rsidRDefault="00BF4C3E" w:rsidP="00BF4C3E">
      <w:pPr>
        <w:pStyle w:val="22-Modeltekst"/>
        <w:ind w:left="283" w:hanging="283"/>
        <w:rPr>
          <w:rFonts w:ascii="Century Gothic" w:hAnsi="Century Gothic"/>
          <w:b/>
          <w:bCs/>
          <w:i/>
          <w:iCs/>
          <w:spacing w:val="0"/>
          <w:lang w:val="en-GB"/>
        </w:rPr>
      </w:pPr>
      <w:r w:rsidRPr="001129A7">
        <w:rPr>
          <w:rFonts w:ascii="Century Gothic" w:hAnsi="Century Gothic"/>
          <w:b/>
          <w:bCs/>
          <w:i/>
          <w:iCs/>
          <w:spacing w:val="0"/>
          <w:lang w:val="en-GB"/>
        </w:rPr>
        <w:t>Gross misconduct</w:t>
      </w:r>
    </w:p>
    <w:p w14:paraId="0F0C9016" w14:textId="1136812C"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Offences under this heading are so serious that an employee who commits them will normally be summarily dismissed. In such cases, </w:t>
      </w:r>
      <w:r w:rsidR="005D08D1">
        <w:rPr>
          <w:rFonts w:ascii="Century Gothic" w:hAnsi="Century Gothic"/>
          <w:spacing w:val="0"/>
          <w:lang w:val="en-GB"/>
        </w:rPr>
        <w:t>Chapters</w:t>
      </w:r>
      <w:r w:rsidRPr="001129A7">
        <w:rPr>
          <w:rFonts w:ascii="Century Gothic" w:hAnsi="Century Gothic"/>
          <w:spacing w:val="0"/>
          <w:lang w:val="en-GB"/>
        </w:rPr>
        <w:t xml:space="preserve"> reserves the right to dismiss without notice of termination or payment in lieu of notice. Examples of gross misconduct include:</w:t>
      </w:r>
    </w:p>
    <w:p w14:paraId="70005E87"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any breach of the criminal law, such as theft  </w:t>
      </w:r>
    </w:p>
    <w:p w14:paraId="59374645"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any unauthorised possession or removal of Company products or property, or property belonging to another employee, client, customer or visitor, fraud (including making fraudulent or false expense claims), deliberate falsification </w:t>
      </w:r>
      <w:r w:rsidRPr="001129A7">
        <w:rPr>
          <w:rFonts w:ascii="Century Gothic" w:hAnsi="Century Gothic"/>
          <w:spacing w:val="0"/>
          <w:lang w:val="en-GB"/>
        </w:rPr>
        <w:lastRenderedPageBreak/>
        <w:t>of records, false declarations in connection with employment or applications for employment or any other form of dishonesty</w:t>
      </w:r>
    </w:p>
    <w:p w14:paraId="388FAE31" w14:textId="4F08C001"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using </w:t>
      </w:r>
      <w:r w:rsidR="005D08D1">
        <w:rPr>
          <w:rFonts w:ascii="Century Gothic" w:hAnsi="Century Gothic"/>
          <w:spacing w:val="0"/>
          <w:lang w:val="en-GB"/>
        </w:rPr>
        <w:t>Chapters</w:t>
      </w:r>
      <w:r w:rsidRPr="001129A7">
        <w:rPr>
          <w:rFonts w:ascii="Century Gothic" w:hAnsi="Century Gothic"/>
          <w:spacing w:val="0"/>
          <w:lang w:val="en-GB"/>
        </w:rPr>
        <w:t>’s property, materials or equipment to carry out work for third parties on a personal basis without permission</w:t>
      </w:r>
    </w:p>
    <w:p w14:paraId="7B1A6191"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misuse of Company benefits, such as improper use of a staff discount card</w:t>
      </w:r>
    </w:p>
    <w:p w14:paraId="3E1DFABA"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offering, promising or giving a bribe or requesting, agreeing to receive or accepting a bribe or bribing a foreign public official in connection with employment contrary to the Bribery Act 2010</w:t>
      </w:r>
    </w:p>
    <w:p w14:paraId="1F287F93" w14:textId="10AC54CE"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wilfully or negligently causing harm or injury to another employee, client, </w:t>
      </w:r>
      <w:r w:rsidR="00A53071">
        <w:rPr>
          <w:rFonts w:ascii="Century Gothic" w:hAnsi="Century Gothic"/>
          <w:spacing w:val="0"/>
          <w:lang w:val="en-GB"/>
        </w:rPr>
        <w:t xml:space="preserve">service </w:t>
      </w:r>
      <w:r w:rsidR="002E3686">
        <w:rPr>
          <w:rFonts w:ascii="Century Gothic" w:hAnsi="Century Gothic"/>
          <w:spacing w:val="0"/>
          <w:lang w:val="en-GB"/>
        </w:rPr>
        <w:t>u</w:t>
      </w:r>
      <w:r w:rsidR="00A53071">
        <w:rPr>
          <w:rFonts w:ascii="Century Gothic" w:hAnsi="Century Gothic"/>
          <w:spacing w:val="0"/>
          <w:lang w:val="en-GB"/>
        </w:rPr>
        <w:t>ser</w:t>
      </w:r>
      <w:r w:rsidRPr="001129A7">
        <w:rPr>
          <w:rFonts w:ascii="Century Gothic" w:hAnsi="Century Gothic"/>
          <w:spacing w:val="0"/>
          <w:lang w:val="en-GB"/>
        </w:rPr>
        <w:t xml:space="preserve"> or visitor, physical violence, assault, fighting, bullying or grossly offensive, abusive or aggressive behaviour or language</w:t>
      </w:r>
    </w:p>
    <w:p w14:paraId="6FB2E13F" w14:textId="1FD6E34A"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deliberately or negligently causing damage to </w:t>
      </w:r>
      <w:r w:rsidR="005D08D1">
        <w:rPr>
          <w:rFonts w:ascii="Century Gothic" w:hAnsi="Century Gothic"/>
          <w:spacing w:val="0"/>
          <w:lang w:val="en-GB"/>
        </w:rPr>
        <w:t>Chapters</w:t>
      </w:r>
      <w:r w:rsidRPr="001129A7">
        <w:rPr>
          <w:rFonts w:ascii="Century Gothic" w:hAnsi="Century Gothic"/>
          <w:spacing w:val="0"/>
          <w:lang w:val="en-GB"/>
        </w:rPr>
        <w:t>’s property, or to property belonging to another employee, client, customer or visitor</w:t>
      </w:r>
    </w:p>
    <w:p w14:paraId="3C782C97" w14:textId="00575213"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vandalism of, or otherwise intentionally interfering with, </w:t>
      </w:r>
      <w:r w:rsidR="005D08D1">
        <w:rPr>
          <w:rFonts w:ascii="Century Gothic" w:hAnsi="Century Gothic"/>
          <w:spacing w:val="0"/>
          <w:lang w:val="en-GB"/>
        </w:rPr>
        <w:t>Chapters</w:t>
      </w:r>
      <w:r w:rsidRPr="001129A7">
        <w:rPr>
          <w:rFonts w:ascii="Century Gothic" w:hAnsi="Century Gothic"/>
          <w:spacing w:val="0"/>
          <w:lang w:val="en-GB"/>
        </w:rPr>
        <w:t>’s computers or computer or telephone network</w:t>
      </w:r>
    </w:p>
    <w:p w14:paraId="69537CB0"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causing loss, damage or injury through serious carelessness or gross negligence </w:t>
      </w:r>
    </w:p>
    <w:p w14:paraId="42E351FD"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dereliction of duty, including sleeping whilst at work and undertaking unauthorised activities during normal working hours</w:t>
      </w:r>
    </w:p>
    <w:p w14:paraId="25CD3FE3"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wilful refusal to obey a reasonable management instruction or serious insubordination</w:t>
      </w:r>
    </w:p>
    <w:p w14:paraId="4E18AD4C"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serious incapacity at work through an excess of alcohol or illegal drugs, whether consumed on or off Company premises but which affects the employee’s ability to carry out their job duties whilst at work</w:t>
      </w:r>
    </w:p>
    <w:p w14:paraId="23BD218A"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bringing illegal drugs or other illegal substances or items or weapons on to Company premises</w:t>
      </w:r>
    </w:p>
    <w:p w14:paraId="29BC7850"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smoking on Company premises, other than in designated outside smoking areas</w:t>
      </w:r>
    </w:p>
    <w:p w14:paraId="3E604BFC"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logging on to sexually explicit websites, downloading or circulating pornographic or other offensive, illegal or obscene material or using the Internet or e-mail for gambling, illegal activities or the sending of offensive e-mails (e.g. jokes) to work colleagues (in the latter case, including from the employee’s home computer in their own time)</w:t>
      </w:r>
    </w:p>
    <w:p w14:paraId="0F4FE1DC"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engaging in sexual activity on Company premises at any time </w:t>
      </w:r>
    </w:p>
    <w:p w14:paraId="06986A33" w14:textId="423FAC4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posting derogatory, offensive, discriminatory or defamatory comments online (for example, on social media websites) about </w:t>
      </w:r>
      <w:r w:rsidR="005D08D1">
        <w:rPr>
          <w:rFonts w:ascii="Century Gothic" w:hAnsi="Century Gothic"/>
          <w:spacing w:val="0"/>
          <w:lang w:val="en-GB"/>
        </w:rPr>
        <w:t>Chapters</w:t>
      </w:r>
      <w:r w:rsidRPr="001129A7">
        <w:rPr>
          <w:rFonts w:ascii="Century Gothic" w:hAnsi="Century Gothic"/>
          <w:spacing w:val="0"/>
          <w:lang w:val="en-GB"/>
        </w:rPr>
        <w:t xml:space="preserve">, its employees, clients or customers or otherwise conducting themselves online in a way that is detrimental to </w:t>
      </w:r>
      <w:r w:rsidR="005D08D1">
        <w:rPr>
          <w:rFonts w:ascii="Century Gothic" w:hAnsi="Century Gothic"/>
          <w:spacing w:val="0"/>
          <w:lang w:val="en-GB"/>
        </w:rPr>
        <w:t>Chapters</w:t>
      </w:r>
      <w:r w:rsidRPr="001129A7">
        <w:rPr>
          <w:rFonts w:ascii="Century Gothic" w:hAnsi="Century Gothic"/>
          <w:spacing w:val="0"/>
          <w:lang w:val="en-GB"/>
        </w:rPr>
        <w:t xml:space="preserve"> or brings </w:t>
      </w:r>
      <w:r w:rsidR="005D08D1">
        <w:rPr>
          <w:rFonts w:ascii="Century Gothic" w:hAnsi="Century Gothic"/>
          <w:spacing w:val="0"/>
          <w:lang w:val="en-GB"/>
        </w:rPr>
        <w:t>Chapters</w:t>
      </w:r>
      <w:r w:rsidRPr="001129A7">
        <w:rPr>
          <w:rFonts w:ascii="Century Gothic" w:hAnsi="Century Gothic"/>
          <w:spacing w:val="0"/>
          <w:lang w:val="en-GB"/>
        </w:rPr>
        <w:t xml:space="preserve"> into serious disrepute</w:t>
      </w:r>
    </w:p>
    <w:p w14:paraId="202EDFA0"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a serious breach of health and safety rules, including acts or omissions which endanger the safety of another employee, client, customer or visitor</w:t>
      </w:r>
    </w:p>
    <w:p w14:paraId="4145C056"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lastRenderedPageBreak/>
        <w:t>a serious breach of security rules</w:t>
      </w:r>
    </w:p>
    <w:p w14:paraId="2BF07A76"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color w:val="auto"/>
          <w:spacing w:val="0"/>
          <w:lang w:val="en-GB"/>
        </w:rPr>
      </w:pPr>
      <w:r w:rsidRPr="001129A7">
        <w:rPr>
          <w:rFonts w:ascii="Century Gothic" w:hAnsi="Century Gothic"/>
          <w:color w:val="auto"/>
          <w:spacing w:val="0"/>
          <w:lang w:val="en-GB"/>
        </w:rPr>
        <w:t>behaviour outside working hours or work location, which either results in or has the potential to result in criminal charges or convictions, which affect the employee’s ability to perform their job duties</w:t>
      </w:r>
    </w:p>
    <w:p w14:paraId="4396C4D4"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discriminating against, harassing, bullying or victimising another employee, client, customer or visitor because of age, disability, gender reassignment, marriage and civil partnership, pregnancy and maternity, race (including colour, nationality and ethnic or national origins), religion or belief, sex and/or sexual orientation</w:t>
      </w:r>
    </w:p>
    <w:p w14:paraId="0A09C931" w14:textId="4791E068"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a serious breach of confidentiality, including unauthorised access of computer and personnel records and communicating or leaking trade secrets or confidential information about </w:t>
      </w:r>
      <w:r w:rsidR="005D08D1">
        <w:rPr>
          <w:rFonts w:ascii="Century Gothic" w:hAnsi="Century Gothic"/>
          <w:spacing w:val="0"/>
          <w:lang w:val="en-GB"/>
        </w:rPr>
        <w:t>Chapters</w:t>
      </w:r>
      <w:r w:rsidRPr="001129A7">
        <w:rPr>
          <w:rFonts w:ascii="Century Gothic" w:hAnsi="Century Gothic"/>
          <w:spacing w:val="0"/>
          <w:lang w:val="en-GB"/>
        </w:rPr>
        <w:t xml:space="preserve"> or its employees, clients or customers to third parties</w:t>
      </w:r>
    </w:p>
    <w:p w14:paraId="34781DEA"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working for a competitor without permission</w:t>
      </w:r>
    </w:p>
    <w:p w14:paraId="7F206DED" w14:textId="6E63280A"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engaging in an unauthorised activity which conflicts with the interests of </w:t>
      </w:r>
      <w:r w:rsidR="005D08D1">
        <w:rPr>
          <w:rFonts w:ascii="Century Gothic" w:hAnsi="Century Gothic"/>
          <w:spacing w:val="0"/>
          <w:lang w:val="en-GB"/>
        </w:rPr>
        <w:t>Chapters</w:t>
      </w:r>
      <w:r w:rsidRPr="001129A7">
        <w:rPr>
          <w:rFonts w:ascii="Century Gothic" w:hAnsi="Century Gothic"/>
          <w:spacing w:val="0"/>
          <w:lang w:val="en-GB"/>
        </w:rPr>
        <w:t xml:space="preserve"> or its </w:t>
      </w:r>
      <w:r w:rsidR="00682860">
        <w:rPr>
          <w:rFonts w:ascii="Century Gothic" w:hAnsi="Century Gothic"/>
          <w:spacing w:val="0"/>
          <w:lang w:val="en-GB"/>
        </w:rPr>
        <w:t>service users</w:t>
      </w:r>
    </w:p>
    <w:p w14:paraId="1A2607B9" w14:textId="7E1FDFA3"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breaching copyright or any other proprietary interest belonging to </w:t>
      </w:r>
      <w:r w:rsidR="005D08D1">
        <w:rPr>
          <w:rFonts w:ascii="Century Gothic" w:hAnsi="Century Gothic"/>
          <w:spacing w:val="0"/>
          <w:lang w:val="en-GB"/>
        </w:rPr>
        <w:t>Chapters</w:t>
      </w:r>
    </w:p>
    <w:p w14:paraId="400309F7"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knowingly breaking a legal requirement in connection with employment</w:t>
      </w:r>
    </w:p>
    <w:p w14:paraId="4FA226B1" w14:textId="75DD06FE"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 xml:space="preserve">bringing </w:t>
      </w:r>
      <w:r w:rsidR="005D08D1">
        <w:rPr>
          <w:rFonts w:ascii="Century Gothic" w:hAnsi="Century Gothic"/>
          <w:spacing w:val="0"/>
          <w:lang w:val="en-GB"/>
        </w:rPr>
        <w:t>Chapters</w:t>
      </w:r>
      <w:r w:rsidRPr="001129A7">
        <w:rPr>
          <w:rFonts w:ascii="Century Gothic" w:hAnsi="Century Gothic"/>
          <w:spacing w:val="0"/>
          <w:lang w:val="en-GB"/>
        </w:rPr>
        <w:t xml:space="preserve"> into serious disrepute, even if done in  the employee’s own time</w:t>
      </w:r>
    </w:p>
    <w:p w14:paraId="1AB3259A" w14:textId="77777777" w:rsidR="00BF4C3E" w:rsidRPr="001129A7" w:rsidRDefault="00BF4C3E" w:rsidP="00BF4C3E">
      <w:pPr>
        <w:pStyle w:val="22-Modeltekst"/>
        <w:widowControl/>
        <w:numPr>
          <w:ilvl w:val="0"/>
          <w:numId w:val="1"/>
        </w:numPr>
        <w:tabs>
          <w:tab w:val="left" w:pos="720"/>
          <w:tab w:val="left" w:pos="1080"/>
          <w:tab w:val="left" w:pos="1440"/>
          <w:tab w:val="left" w:pos="1800"/>
          <w:tab w:val="left" w:pos="2160"/>
        </w:tabs>
        <w:ind w:left="720"/>
        <w:rPr>
          <w:rFonts w:ascii="Century Gothic" w:hAnsi="Century Gothic"/>
          <w:spacing w:val="0"/>
          <w:lang w:val="en-GB"/>
        </w:rPr>
      </w:pPr>
      <w:r w:rsidRPr="001129A7">
        <w:rPr>
          <w:rFonts w:ascii="Century Gothic" w:hAnsi="Century Gothic"/>
          <w:spacing w:val="0"/>
          <w:lang w:val="en-GB"/>
        </w:rPr>
        <w:t>unauthorised absence, including failure to return from a period of annual leave or other approved leave of absence.</w:t>
      </w:r>
    </w:p>
    <w:p w14:paraId="65B63B7E" w14:textId="77777777" w:rsidR="00BF4C3E" w:rsidRPr="001129A7" w:rsidRDefault="00BF4C3E" w:rsidP="00BF4C3E">
      <w:pPr>
        <w:pStyle w:val="22-Modeltekst"/>
        <w:ind w:left="283" w:hanging="283"/>
        <w:rPr>
          <w:rFonts w:ascii="Century Gothic" w:hAnsi="Century Gothic"/>
          <w:spacing w:val="0"/>
          <w:lang w:val="en-GB"/>
        </w:rPr>
      </w:pPr>
    </w:p>
    <w:p w14:paraId="1B15339B" w14:textId="77777777" w:rsidR="00BF4C3E" w:rsidRPr="001129A7" w:rsidRDefault="00BF4C3E" w:rsidP="00BF4C3E">
      <w:pPr>
        <w:pStyle w:val="22-Modeltekst"/>
        <w:rPr>
          <w:rFonts w:ascii="Century Gothic" w:hAnsi="Century Gothic"/>
          <w:b/>
          <w:bCs/>
          <w:spacing w:val="0"/>
          <w:lang w:val="en-GB"/>
        </w:rPr>
      </w:pPr>
      <w:r w:rsidRPr="001129A7">
        <w:rPr>
          <w:rFonts w:ascii="Century Gothic" w:hAnsi="Century Gothic"/>
          <w:b/>
          <w:bCs/>
          <w:spacing w:val="0"/>
          <w:lang w:val="en-GB"/>
        </w:rPr>
        <w:t>The above is intended as a guide and is not an exhaustive list.</w:t>
      </w:r>
    </w:p>
    <w:p w14:paraId="17698B31"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Suspension</w:t>
      </w:r>
    </w:p>
    <w:p w14:paraId="470D8E06" w14:textId="7777777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In the event of serious or gross misconduct, an employee may be suspended on full basic pay while a full investigation is carried out. Such suspension does not imply guilt or blame and will be for as short a period as possible. Suspension is not considered a disciplinary action.</w:t>
      </w:r>
    </w:p>
    <w:p w14:paraId="6E0E50FF"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Appeals</w:t>
      </w:r>
    </w:p>
    <w:p w14:paraId="36463827" w14:textId="14F8D0E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An employee may appeal against any disciplinary decision, including dismissal, to </w:t>
      </w:r>
      <w:r w:rsidR="00D2053D">
        <w:rPr>
          <w:rFonts w:ascii="Century Gothic" w:hAnsi="Century Gothic"/>
          <w:spacing w:val="0"/>
          <w:lang w:val="en-GB"/>
        </w:rPr>
        <w:t>the owner</w:t>
      </w:r>
      <w:r w:rsidR="00825B9B">
        <w:rPr>
          <w:rFonts w:ascii="Century Gothic" w:hAnsi="Century Gothic"/>
          <w:spacing w:val="0"/>
          <w:lang w:val="en-GB"/>
        </w:rPr>
        <w:t xml:space="preserve"> </w:t>
      </w:r>
      <w:r w:rsidRPr="001129A7">
        <w:rPr>
          <w:rFonts w:ascii="Century Gothic" w:hAnsi="Century Gothic"/>
          <w:spacing w:val="0"/>
          <w:lang w:val="en-GB"/>
        </w:rPr>
        <w:t xml:space="preserve">of </w:t>
      </w:r>
      <w:r w:rsidR="005D08D1">
        <w:rPr>
          <w:rFonts w:ascii="Century Gothic" w:hAnsi="Century Gothic"/>
          <w:spacing w:val="0"/>
          <w:lang w:val="en-GB"/>
        </w:rPr>
        <w:t>Chapters</w:t>
      </w:r>
      <w:r w:rsidRPr="001129A7">
        <w:rPr>
          <w:rFonts w:ascii="Century Gothic" w:hAnsi="Century Gothic"/>
          <w:spacing w:val="0"/>
          <w:lang w:val="en-GB"/>
        </w:rPr>
        <w:t xml:space="preserve"> within five working days of the decision. Appeals should be made in writing and state the grounds for appeal. The employee will be invited to attend an appeal hearing chaired by a senior manager or </w:t>
      </w:r>
      <w:r w:rsidR="00D2053D">
        <w:rPr>
          <w:rFonts w:ascii="Century Gothic" w:hAnsi="Century Gothic"/>
          <w:spacing w:val="0"/>
          <w:lang w:val="en-GB"/>
        </w:rPr>
        <w:t>the owner</w:t>
      </w:r>
      <w:r w:rsidRPr="001129A7">
        <w:rPr>
          <w:rFonts w:ascii="Century Gothic" w:hAnsi="Century Gothic"/>
          <w:spacing w:val="0"/>
          <w:lang w:val="en-GB"/>
        </w:rPr>
        <w:t xml:space="preserve">. </w:t>
      </w:r>
    </w:p>
    <w:p w14:paraId="3EE51133" w14:textId="77777777"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At the appeal hearing, the employee will again be given the chance to state his or her case and will have the right to be accompanied by a trade union official or a fellow employee of his or her choice. </w:t>
      </w:r>
    </w:p>
    <w:p w14:paraId="74D1B3FB" w14:textId="64C09898"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Following the appeal hearing, the employee will be informed in writing of the appeal </w:t>
      </w:r>
      <w:r w:rsidRPr="001129A7">
        <w:rPr>
          <w:rFonts w:ascii="Century Gothic" w:hAnsi="Century Gothic"/>
          <w:spacing w:val="0"/>
          <w:lang w:val="en-GB"/>
        </w:rPr>
        <w:lastRenderedPageBreak/>
        <w:t xml:space="preserve">decision. </w:t>
      </w:r>
      <w:r w:rsidR="005D08D1">
        <w:rPr>
          <w:rFonts w:ascii="Century Gothic" w:hAnsi="Century Gothic"/>
          <w:spacing w:val="0"/>
          <w:lang w:val="en-GB"/>
        </w:rPr>
        <w:t>Chapters</w:t>
      </w:r>
      <w:r w:rsidRPr="001129A7">
        <w:rPr>
          <w:rFonts w:ascii="Century Gothic" w:hAnsi="Century Gothic"/>
          <w:spacing w:val="0"/>
          <w:lang w:val="en-GB"/>
        </w:rPr>
        <w:t>’s decision on an appeal will be final.</w:t>
      </w:r>
    </w:p>
    <w:p w14:paraId="2BF297F3" w14:textId="77777777" w:rsidR="00BF4C3E" w:rsidRPr="001129A7" w:rsidRDefault="00BF4C3E" w:rsidP="00BF4C3E">
      <w:pPr>
        <w:pStyle w:val="21-Modelsubtitelbit"/>
        <w:rPr>
          <w:rFonts w:ascii="Century Gothic" w:hAnsi="Century Gothic"/>
          <w:spacing w:val="0"/>
          <w:lang w:val="en-GB"/>
        </w:rPr>
      </w:pPr>
      <w:r w:rsidRPr="001129A7">
        <w:rPr>
          <w:rFonts w:ascii="Century Gothic" w:hAnsi="Century Gothic"/>
          <w:spacing w:val="0"/>
          <w:lang w:val="en-GB"/>
        </w:rPr>
        <w:t>Employees with short service</w:t>
      </w:r>
    </w:p>
    <w:p w14:paraId="14BC112F" w14:textId="7486C3EB" w:rsidR="00BF4C3E" w:rsidRPr="001129A7" w:rsidRDefault="00BF4C3E" w:rsidP="00BF4C3E">
      <w:pPr>
        <w:pStyle w:val="22-Modeltekst"/>
        <w:rPr>
          <w:rFonts w:ascii="Century Gothic" w:hAnsi="Century Gothic"/>
          <w:spacing w:val="0"/>
          <w:lang w:val="en-GB"/>
        </w:rPr>
      </w:pPr>
      <w:r w:rsidRPr="001129A7">
        <w:rPr>
          <w:rFonts w:ascii="Century Gothic" w:hAnsi="Century Gothic"/>
          <w:spacing w:val="0"/>
          <w:lang w:val="en-GB"/>
        </w:rPr>
        <w:t xml:space="preserve">This disciplinary procedure does not apply to any employee who has been employed by </w:t>
      </w:r>
      <w:r w:rsidR="005D08D1">
        <w:rPr>
          <w:rFonts w:ascii="Century Gothic" w:hAnsi="Century Gothic"/>
          <w:spacing w:val="0"/>
          <w:lang w:val="en-GB"/>
        </w:rPr>
        <w:t>Chapters</w:t>
      </w:r>
      <w:r w:rsidRPr="001129A7">
        <w:rPr>
          <w:rFonts w:ascii="Century Gothic" w:hAnsi="Century Gothic"/>
          <w:spacing w:val="0"/>
          <w:lang w:val="en-GB"/>
        </w:rPr>
        <w:t xml:space="preserve"> for less than two years.</w:t>
      </w:r>
    </w:p>
    <w:p w14:paraId="0DEBEBA1" w14:textId="77777777" w:rsidR="00BF4C3E" w:rsidRPr="001129A7" w:rsidRDefault="00BF4C3E" w:rsidP="00BF4C3E">
      <w:pPr>
        <w:rPr>
          <w:rFonts w:ascii="Century Gothic" w:hAnsi="Century Gothic"/>
        </w:rPr>
      </w:pPr>
    </w:p>
    <w:p w14:paraId="4787A389" w14:textId="0F4FFF92" w:rsidR="005A0E33" w:rsidRPr="00173518" w:rsidRDefault="008F7186">
      <w:pPr>
        <w:rPr>
          <w:rFonts w:ascii="Century Gothic" w:hAnsi="Century Gothic"/>
          <w:b/>
          <w:bCs/>
        </w:rPr>
      </w:pPr>
      <w:r w:rsidRPr="00173518">
        <w:rPr>
          <w:rFonts w:ascii="Century Gothic" w:hAnsi="Century Gothic"/>
          <w:b/>
          <w:bCs/>
        </w:rPr>
        <w:t xml:space="preserve"> </w:t>
      </w:r>
    </w:p>
    <w:tbl>
      <w:tblPr>
        <w:tblStyle w:val="TableGrid1"/>
        <w:tblpPr w:leftFromText="180" w:rightFromText="180" w:vertAnchor="text" w:horzAnchor="margin" w:tblpY="47"/>
        <w:tblW w:w="0" w:type="auto"/>
        <w:tblLook w:val="04A0" w:firstRow="1" w:lastRow="0" w:firstColumn="1" w:lastColumn="0" w:noHBand="0" w:noVBand="1"/>
      </w:tblPr>
      <w:tblGrid>
        <w:gridCol w:w="2254"/>
        <w:gridCol w:w="1994"/>
        <w:gridCol w:w="2126"/>
        <w:gridCol w:w="2642"/>
      </w:tblGrid>
      <w:tr w:rsidR="000C7085" w14:paraId="5C3963FF" w14:textId="77777777" w:rsidTr="000C7085">
        <w:tc>
          <w:tcPr>
            <w:tcW w:w="2254" w:type="dxa"/>
          </w:tcPr>
          <w:p w14:paraId="19D3BDE1" w14:textId="77777777" w:rsidR="000C7085" w:rsidRDefault="000C7085" w:rsidP="000C7085">
            <w:pPr>
              <w:rPr>
                <w:rFonts w:ascii="Century Gothic" w:hAnsi="Century Gothic"/>
              </w:rPr>
            </w:pPr>
            <w:r>
              <w:rPr>
                <w:rFonts w:ascii="Century Gothic" w:hAnsi="Century Gothic"/>
              </w:rPr>
              <w:t xml:space="preserve">Issue Date </w:t>
            </w:r>
          </w:p>
        </w:tc>
        <w:tc>
          <w:tcPr>
            <w:tcW w:w="1994" w:type="dxa"/>
          </w:tcPr>
          <w:p w14:paraId="6B2819D5" w14:textId="5B885F8D" w:rsidR="000C7085" w:rsidRDefault="000C7085" w:rsidP="000C7085">
            <w:pPr>
              <w:rPr>
                <w:rFonts w:ascii="Century Gothic" w:hAnsi="Century Gothic"/>
              </w:rPr>
            </w:pPr>
            <w:r>
              <w:rPr>
                <w:rFonts w:ascii="Century Gothic" w:hAnsi="Century Gothic"/>
              </w:rPr>
              <w:t>January 2026</w:t>
            </w:r>
          </w:p>
        </w:tc>
        <w:tc>
          <w:tcPr>
            <w:tcW w:w="2126" w:type="dxa"/>
          </w:tcPr>
          <w:p w14:paraId="7C73E9F3" w14:textId="77777777" w:rsidR="000C7085" w:rsidRDefault="000C7085" w:rsidP="000C7085">
            <w:pPr>
              <w:rPr>
                <w:rFonts w:ascii="Century Gothic" w:hAnsi="Century Gothic"/>
              </w:rPr>
            </w:pPr>
            <w:r>
              <w:rPr>
                <w:rFonts w:ascii="Century Gothic" w:hAnsi="Century Gothic"/>
              </w:rPr>
              <w:t xml:space="preserve">Review Date </w:t>
            </w:r>
          </w:p>
        </w:tc>
        <w:tc>
          <w:tcPr>
            <w:tcW w:w="2642" w:type="dxa"/>
          </w:tcPr>
          <w:p w14:paraId="65F75309" w14:textId="7EDB234A" w:rsidR="000C7085" w:rsidRDefault="000C7085" w:rsidP="000C7085">
            <w:pPr>
              <w:rPr>
                <w:rFonts w:ascii="Century Gothic" w:hAnsi="Century Gothic"/>
              </w:rPr>
            </w:pPr>
            <w:r>
              <w:rPr>
                <w:rFonts w:ascii="Century Gothic" w:hAnsi="Century Gothic"/>
              </w:rPr>
              <w:t>January  2028</w:t>
            </w:r>
          </w:p>
        </w:tc>
      </w:tr>
      <w:tr w:rsidR="000C7085" w14:paraId="0C637095" w14:textId="77777777" w:rsidTr="000C7085">
        <w:tc>
          <w:tcPr>
            <w:tcW w:w="2254" w:type="dxa"/>
          </w:tcPr>
          <w:p w14:paraId="20BE24C6" w14:textId="77777777" w:rsidR="000C7085" w:rsidRDefault="000C7085" w:rsidP="000C7085">
            <w:pPr>
              <w:rPr>
                <w:rFonts w:ascii="Century Gothic" w:hAnsi="Century Gothic"/>
              </w:rPr>
            </w:pPr>
            <w:r>
              <w:rPr>
                <w:rFonts w:ascii="Century Gothic" w:hAnsi="Century Gothic"/>
              </w:rPr>
              <w:t>Issued by</w:t>
            </w:r>
          </w:p>
        </w:tc>
        <w:tc>
          <w:tcPr>
            <w:tcW w:w="1994" w:type="dxa"/>
          </w:tcPr>
          <w:p w14:paraId="3995926D" w14:textId="77777777" w:rsidR="000C7085" w:rsidRDefault="000C7085" w:rsidP="000C7085">
            <w:pPr>
              <w:rPr>
                <w:rFonts w:ascii="Century Gothic" w:hAnsi="Century Gothic"/>
              </w:rPr>
            </w:pPr>
            <w:r>
              <w:rPr>
                <w:rFonts w:ascii="Century Gothic" w:hAnsi="Century Gothic"/>
              </w:rPr>
              <w:t>Niki Fowler</w:t>
            </w:r>
          </w:p>
        </w:tc>
        <w:tc>
          <w:tcPr>
            <w:tcW w:w="2126" w:type="dxa"/>
          </w:tcPr>
          <w:p w14:paraId="3A1F38EA" w14:textId="77777777" w:rsidR="000C7085" w:rsidRDefault="000C7085" w:rsidP="000C7085">
            <w:pPr>
              <w:rPr>
                <w:rFonts w:ascii="Century Gothic" w:hAnsi="Century Gothic"/>
              </w:rPr>
            </w:pPr>
          </w:p>
        </w:tc>
        <w:tc>
          <w:tcPr>
            <w:tcW w:w="2642" w:type="dxa"/>
          </w:tcPr>
          <w:p w14:paraId="5AD73043" w14:textId="77777777" w:rsidR="000C7085" w:rsidRDefault="000C7085" w:rsidP="000C7085">
            <w:pPr>
              <w:rPr>
                <w:rFonts w:ascii="Century Gothic" w:hAnsi="Century Gothic"/>
              </w:rPr>
            </w:pPr>
          </w:p>
        </w:tc>
      </w:tr>
    </w:tbl>
    <w:p w14:paraId="35BFD1E6" w14:textId="72E6C605" w:rsidR="008F7186" w:rsidRPr="00173518" w:rsidRDefault="008F7186" w:rsidP="000C7085">
      <w:pPr>
        <w:rPr>
          <w:rFonts w:ascii="Century Gothic" w:hAnsi="Century Gothic"/>
        </w:rPr>
      </w:pPr>
    </w:p>
    <w:sectPr w:rsidR="008F7186" w:rsidRPr="0017351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D2F50" w14:textId="77777777" w:rsidR="005A5DF8" w:rsidRDefault="005A5DF8" w:rsidP="00FD3522">
      <w:pPr>
        <w:spacing w:after="0" w:line="240" w:lineRule="auto"/>
      </w:pPr>
      <w:r>
        <w:separator/>
      </w:r>
    </w:p>
  </w:endnote>
  <w:endnote w:type="continuationSeparator" w:id="0">
    <w:p w14:paraId="3454C924" w14:textId="77777777" w:rsidR="005A5DF8" w:rsidRDefault="005A5DF8" w:rsidP="00FD3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50C1" w14:textId="77777777" w:rsidR="00FD3522" w:rsidRDefault="00FD35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E4D07" w14:textId="77777777" w:rsidR="00FD3522" w:rsidRDefault="00FD3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A91D" w14:textId="77777777" w:rsidR="00FD3522" w:rsidRDefault="00FD3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267F" w14:textId="77777777" w:rsidR="005A5DF8" w:rsidRDefault="005A5DF8" w:rsidP="00FD3522">
      <w:pPr>
        <w:spacing w:after="0" w:line="240" w:lineRule="auto"/>
      </w:pPr>
      <w:r>
        <w:separator/>
      </w:r>
    </w:p>
  </w:footnote>
  <w:footnote w:type="continuationSeparator" w:id="0">
    <w:p w14:paraId="49056340" w14:textId="77777777" w:rsidR="005A5DF8" w:rsidRDefault="005A5DF8" w:rsidP="00FD3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C64CC" w14:textId="77777777" w:rsidR="00FD3522" w:rsidRDefault="00FD35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4AEAC" w14:textId="72452756" w:rsidR="00FD3522" w:rsidRDefault="00FD3522">
    <w:pPr>
      <w:pStyle w:val="Header"/>
    </w:pPr>
    <w:r>
      <w:rPr>
        <w:noProof/>
      </w:rPr>
      <w:drawing>
        <wp:anchor distT="0" distB="0" distL="114300" distR="114300" simplePos="0" relativeHeight="251659264" behindDoc="1" locked="0" layoutInCell="1" allowOverlap="1" wp14:anchorId="6202F292" wp14:editId="47806FAE">
          <wp:simplePos x="0" y="0"/>
          <wp:positionH relativeFrom="column">
            <wp:posOffset>-365760</wp:posOffset>
          </wp:positionH>
          <wp:positionV relativeFrom="paragraph">
            <wp:posOffset>-450215</wp:posOffset>
          </wp:positionV>
          <wp:extent cx="1792800" cy="1008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92800" cy="100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175DD" w14:textId="77777777" w:rsidR="00FD3522" w:rsidRDefault="00FD3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num w:numId="1" w16cid:durableId="1681662193">
    <w:abstractNumId w:val="0"/>
  </w:num>
  <w:num w:numId="2" w16cid:durableId="20828736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0EF"/>
    <w:rsid w:val="00056931"/>
    <w:rsid w:val="00081F69"/>
    <w:rsid w:val="000A72AC"/>
    <w:rsid w:val="000C7085"/>
    <w:rsid w:val="00146D96"/>
    <w:rsid w:val="00173518"/>
    <w:rsid w:val="00174A7D"/>
    <w:rsid w:val="00192141"/>
    <w:rsid w:val="001E1CE3"/>
    <w:rsid w:val="002A48FF"/>
    <w:rsid w:val="002C6127"/>
    <w:rsid w:val="002E3686"/>
    <w:rsid w:val="00337360"/>
    <w:rsid w:val="00431B71"/>
    <w:rsid w:val="00530F10"/>
    <w:rsid w:val="0056429C"/>
    <w:rsid w:val="00582831"/>
    <w:rsid w:val="005A0E33"/>
    <w:rsid w:val="005A5DF8"/>
    <w:rsid w:val="005C7786"/>
    <w:rsid w:val="005D08D1"/>
    <w:rsid w:val="0060689C"/>
    <w:rsid w:val="006573D5"/>
    <w:rsid w:val="006777BB"/>
    <w:rsid w:val="00682860"/>
    <w:rsid w:val="007402BD"/>
    <w:rsid w:val="00825B9B"/>
    <w:rsid w:val="00874666"/>
    <w:rsid w:val="008F7186"/>
    <w:rsid w:val="00A53071"/>
    <w:rsid w:val="00AA0530"/>
    <w:rsid w:val="00B1571A"/>
    <w:rsid w:val="00B236E6"/>
    <w:rsid w:val="00BB69D0"/>
    <w:rsid w:val="00BF4C3E"/>
    <w:rsid w:val="00C57511"/>
    <w:rsid w:val="00C7344C"/>
    <w:rsid w:val="00D2053D"/>
    <w:rsid w:val="00D530EF"/>
    <w:rsid w:val="00D77C98"/>
    <w:rsid w:val="00EB793C"/>
    <w:rsid w:val="00F36B91"/>
    <w:rsid w:val="00FD35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1E7D7"/>
  <w15:chartTrackingRefBased/>
  <w15:docId w15:val="{72E39CD4-7A13-4491-9CF7-595B01DF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8283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3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522"/>
  </w:style>
  <w:style w:type="paragraph" w:styleId="Footer">
    <w:name w:val="footer"/>
    <w:basedOn w:val="Normal"/>
    <w:link w:val="FooterChar"/>
    <w:uiPriority w:val="99"/>
    <w:unhideWhenUsed/>
    <w:rsid w:val="00FD3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522"/>
  </w:style>
  <w:style w:type="paragraph" w:customStyle="1" w:styleId="22-Modeltekst">
    <w:name w:val="22 - Model_tekst"/>
    <w:basedOn w:val="Normal"/>
    <w:rsid w:val="00BF4C3E"/>
    <w:pPr>
      <w:widowControl w:val="0"/>
      <w:suppressAutoHyphens/>
      <w:autoSpaceDE w:val="0"/>
      <w:spacing w:after="170" w:line="280" w:lineRule="atLeast"/>
      <w:jc w:val="both"/>
      <w:textAlignment w:val="baseline"/>
    </w:pPr>
    <w:rPr>
      <w:rFonts w:ascii="NewCenturySchlbk" w:eastAsia="NewCenturySchlbk" w:hAnsi="NewCenturySchlbk" w:cs="Times New Roman"/>
      <w:color w:val="000000"/>
      <w:spacing w:val="-10"/>
      <w:kern w:val="0"/>
      <w:lang w:val="nl-NL" w:eastAsia="ar-SA"/>
      <w14:ligatures w14:val="none"/>
    </w:rPr>
  </w:style>
  <w:style w:type="paragraph" w:customStyle="1" w:styleId="21-Modelsubtitelbit">
    <w:name w:val="21 - Model_subtitel (b+it)"/>
    <w:basedOn w:val="Normal"/>
    <w:rsid w:val="00BF4C3E"/>
    <w:pPr>
      <w:keepNext/>
      <w:suppressAutoHyphens/>
      <w:autoSpaceDE w:val="0"/>
      <w:spacing w:before="340" w:after="170" w:line="280" w:lineRule="atLeast"/>
      <w:textAlignment w:val="baseline"/>
    </w:pPr>
    <w:rPr>
      <w:rFonts w:ascii="NewCenturySchlbk" w:eastAsia="Times New Roman" w:hAnsi="NewCenturySchlbk" w:cs="Times New Roman"/>
      <w:b/>
      <w:bCs/>
      <w:i/>
      <w:iCs/>
      <w:color w:val="000000"/>
      <w:spacing w:val="-13"/>
      <w:kern w:val="0"/>
      <w:lang w:val="nl-NL"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1720</Words>
  <Characters>9375</Characters>
  <Application>Microsoft Office Word</Application>
  <DocSecurity>0</DocSecurity>
  <Lines>176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Fowler</dc:creator>
  <cp:keywords/>
  <dc:description/>
  <cp:lastModifiedBy>Niki Fowler</cp:lastModifiedBy>
  <cp:revision>20</cp:revision>
  <dcterms:created xsi:type="dcterms:W3CDTF">2026-01-22T14:57:00Z</dcterms:created>
  <dcterms:modified xsi:type="dcterms:W3CDTF">2026-03-22T16:06:00Z</dcterms:modified>
</cp:coreProperties>
</file>